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572D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7A1E6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БЕРЕЗОВСКИЙ</w:t>
      </w:r>
      <w:r w:rsidR="00616975">
        <w:rPr>
          <w:color w:val="000000"/>
          <w:szCs w:val="28"/>
        </w:rPr>
        <w:t xml:space="preserve"> 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Pr="00572D31" w:rsidRDefault="00572D31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72D31">
        <w:rPr>
          <w:color w:val="000000"/>
          <w:szCs w:val="28"/>
        </w:rPr>
        <w:t>23</w:t>
      </w:r>
      <w:r>
        <w:rPr>
          <w:color w:val="000000"/>
          <w:szCs w:val="28"/>
        </w:rPr>
        <w:t>.</w:t>
      </w:r>
      <w:r w:rsidRPr="00E12A25">
        <w:rPr>
          <w:color w:val="000000"/>
          <w:szCs w:val="28"/>
        </w:rPr>
        <w:t>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0D0906">
        <w:rPr>
          <w:color w:val="000000"/>
          <w:szCs w:val="28"/>
        </w:rPr>
        <w:t>3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616975">
        <w:rPr>
          <w:color w:val="000000"/>
          <w:szCs w:val="28"/>
        </w:rPr>
        <w:t xml:space="preserve">      </w:t>
      </w:r>
      <w:r w:rsidR="00D34B1F">
        <w:rPr>
          <w:color w:val="000000"/>
          <w:szCs w:val="28"/>
        </w:rPr>
        <w:t xml:space="preserve">   </w:t>
      </w:r>
      <w:proofErr w:type="gramStart"/>
      <w:r w:rsidR="0047102A">
        <w:rPr>
          <w:color w:val="000000"/>
          <w:szCs w:val="28"/>
        </w:rPr>
        <w:t>с</w:t>
      </w:r>
      <w:proofErr w:type="gramEnd"/>
      <w:r w:rsidR="0047102A">
        <w:rPr>
          <w:color w:val="000000"/>
          <w:szCs w:val="28"/>
        </w:rPr>
        <w:t xml:space="preserve">. </w:t>
      </w:r>
      <w:r w:rsidR="007A1E6A">
        <w:rPr>
          <w:color w:val="000000"/>
          <w:szCs w:val="28"/>
        </w:rPr>
        <w:t>Березовка</w:t>
      </w:r>
      <w:r w:rsidR="0047102A">
        <w:rPr>
          <w:color w:val="000000"/>
          <w:szCs w:val="28"/>
        </w:rPr>
        <w:t xml:space="preserve">                              </w:t>
      </w:r>
      <w:r w:rsidR="00616975">
        <w:rPr>
          <w:color w:val="000000"/>
          <w:szCs w:val="28"/>
        </w:rPr>
        <w:t xml:space="preserve"> </w:t>
      </w:r>
      <w:r w:rsidR="00EC7CD4">
        <w:rPr>
          <w:color w:val="000000"/>
          <w:szCs w:val="28"/>
        </w:rPr>
        <w:t xml:space="preserve">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№ </w:t>
      </w:r>
      <w:r w:rsidRPr="00E12A25">
        <w:rPr>
          <w:color w:val="000000"/>
          <w:szCs w:val="28"/>
        </w:rPr>
        <w:t>43</w:t>
      </w:r>
      <w:r w:rsidR="00616975">
        <w:rPr>
          <w:color w:val="000000"/>
          <w:szCs w:val="28"/>
        </w:rPr>
        <w:t>-</w:t>
      </w:r>
      <w:r w:rsidRPr="00E12A25">
        <w:rPr>
          <w:color w:val="000000"/>
          <w:szCs w:val="28"/>
        </w:rPr>
        <w:t>117Р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Абанского района Красноярского края, </w:t>
      </w:r>
      <w:r w:rsidR="007A1E6A">
        <w:rPr>
          <w:szCs w:val="28"/>
        </w:rPr>
        <w:t>Березовский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616975">
        <w:rPr>
          <w:szCs w:val="28"/>
        </w:rPr>
        <w:t xml:space="preserve">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</w:t>
      </w:r>
      <w:bookmarkStart w:id="0" w:name="_GoBack"/>
      <w:bookmarkEnd w:id="0"/>
      <w:r w:rsidR="002A7D94">
        <w:rPr>
          <w:szCs w:val="28"/>
        </w:rPr>
        <w:t>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2024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r w:rsidR="007A1E6A">
        <w:rPr>
          <w:szCs w:val="28"/>
        </w:rPr>
        <w:t>Березо</w:t>
      </w:r>
      <w:r w:rsidR="00616975">
        <w:rPr>
          <w:szCs w:val="28"/>
        </w:rPr>
        <w:t>вс</w:t>
      </w:r>
      <w:r w:rsidR="007A1E6A">
        <w:rPr>
          <w:szCs w:val="28"/>
        </w:rPr>
        <w:t>к</w:t>
      </w:r>
      <w:r w:rsidR="00616975">
        <w:rPr>
          <w:szCs w:val="28"/>
        </w:rPr>
        <w:t>ого</w:t>
      </w:r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>Настоящее Решение вступает в силу со дня</w:t>
      </w:r>
      <w:r w:rsidR="00572D31">
        <w:rPr>
          <w:szCs w:val="28"/>
        </w:rPr>
        <w:t xml:space="preserve">, следующего за днем его </w:t>
      </w:r>
      <w:r w:rsidR="00997646" w:rsidRPr="0078646D">
        <w:rPr>
          <w:szCs w:val="28"/>
        </w:rPr>
        <w:t xml:space="preserve"> официального опубликования  </w:t>
      </w:r>
      <w:r w:rsidR="00D14367">
        <w:rPr>
          <w:szCs w:val="28"/>
        </w:rPr>
        <w:t xml:space="preserve">в  </w:t>
      </w:r>
      <w:r w:rsidR="00572D31">
        <w:rPr>
          <w:szCs w:val="28"/>
        </w:rPr>
        <w:t>газете «Ведомости</w:t>
      </w:r>
      <w:r w:rsidR="00D14367">
        <w:rPr>
          <w:szCs w:val="28"/>
        </w:rPr>
        <w:t xml:space="preserve"> органов местного самоуправления Березовского сельсовета</w:t>
      </w:r>
      <w:r w:rsidR="00572D31">
        <w:rPr>
          <w:szCs w:val="28"/>
        </w:rPr>
        <w:t>»</w:t>
      </w:r>
      <w:r w:rsidR="00997646" w:rsidRPr="0078646D">
        <w:rPr>
          <w:szCs w:val="28"/>
        </w:rPr>
        <w:t xml:space="preserve"> и подлежит размещению на официальном </w:t>
      </w:r>
      <w:r w:rsidR="00997646" w:rsidRPr="00616975">
        <w:rPr>
          <w:szCs w:val="28"/>
        </w:rPr>
        <w:t xml:space="preserve">сайте </w:t>
      </w:r>
      <w:r w:rsidR="007A1E6A">
        <w:rPr>
          <w:szCs w:val="28"/>
        </w:rPr>
        <w:t>Березовского</w:t>
      </w:r>
      <w:r w:rsidR="006A4ED6" w:rsidRPr="00616975">
        <w:rPr>
          <w:szCs w:val="28"/>
        </w:rPr>
        <w:t xml:space="preserve"> сельсовета в сети Интернет</w:t>
      </w:r>
      <w:r w:rsidR="00997646" w:rsidRPr="00616975">
        <w:rPr>
          <w:szCs w:val="28"/>
        </w:rPr>
        <w:t>.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>
              <w:rPr>
                <w:rFonts w:eastAsia="Calibri"/>
                <w:szCs w:val="28"/>
              </w:rPr>
              <w:t>я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616975">
              <w:rPr>
                <w:rFonts w:eastAsia="Calibri"/>
                <w:szCs w:val="28"/>
              </w:rPr>
              <w:t xml:space="preserve"> </w:t>
            </w:r>
            <w:r w:rsidR="007A1E6A">
              <w:rPr>
                <w:rFonts w:eastAsia="Calibri"/>
                <w:szCs w:val="28"/>
              </w:rPr>
              <w:t>Березовского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r w:rsidR="007A1E6A">
              <w:rPr>
                <w:rFonts w:eastAsia="Calibri"/>
                <w:szCs w:val="28"/>
              </w:rPr>
              <w:t xml:space="preserve">Е.В. </w:t>
            </w:r>
            <w:proofErr w:type="spellStart"/>
            <w:r w:rsidR="007A1E6A">
              <w:rPr>
                <w:rFonts w:eastAsia="Calibri"/>
                <w:szCs w:val="28"/>
              </w:rPr>
              <w:t>Ходкин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997646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7A1E6A">
              <w:rPr>
                <w:rFonts w:eastAsia="Calibri"/>
                <w:szCs w:val="28"/>
              </w:rPr>
              <w:t>Березовского</w:t>
            </w:r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______</w:t>
            </w:r>
            <w:r w:rsidR="007A1E6A">
              <w:rPr>
                <w:rFonts w:eastAsia="Calibri"/>
                <w:szCs w:val="28"/>
              </w:rPr>
              <w:t>Е.В</w:t>
            </w:r>
            <w:r w:rsidR="00616975">
              <w:rPr>
                <w:rFonts w:eastAsia="Calibri"/>
                <w:szCs w:val="28"/>
              </w:rPr>
              <w:t xml:space="preserve">. </w:t>
            </w:r>
            <w:proofErr w:type="spellStart"/>
            <w:r w:rsidR="007A1E6A">
              <w:rPr>
                <w:rFonts w:eastAsia="Calibri"/>
                <w:szCs w:val="28"/>
              </w:rPr>
              <w:t>Фильберт</w:t>
            </w:r>
            <w:proofErr w:type="spellEnd"/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D14367" w:rsidRDefault="00D14367" w:rsidP="00D14367">
      <w:pPr>
        <w:pStyle w:val="a7"/>
        <w:rPr>
          <w:spacing w:val="60"/>
          <w:sz w:val="72"/>
          <w:szCs w:val="72"/>
        </w:rPr>
      </w:pPr>
    </w:p>
    <w:p w:rsidR="00D14367" w:rsidRDefault="00D14367" w:rsidP="00D14367">
      <w:pPr>
        <w:pStyle w:val="a9"/>
        <w:jc w:val="center"/>
        <w:rPr>
          <w:b/>
          <w:spacing w:val="60"/>
          <w:sz w:val="72"/>
          <w:szCs w:val="72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997646" w:rsidRDefault="0099764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 w:rsidR="007A1E6A">
        <w:rPr>
          <w:sz w:val="24"/>
          <w:szCs w:val="24"/>
        </w:rPr>
        <w:t>Березовского</w:t>
      </w:r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E12A25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23</w:t>
      </w:r>
      <w:r w:rsidR="000D0906" w:rsidRPr="00295D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0D0906" w:rsidRPr="00295D61">
        <w:rPr>
          <w:sz w:val="24"/>
          <w:szCs w:val="24"/>
        </w:rPr>
        <w:t>.2023  №</w:t>
      </w:r>
      <w:r>
        <w:rPr>
          <w:sz w:val="24"/>
          <w:szCs w:val="24"/>
        </w:rPr>
        <w:t>43-117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r w:rsidR="007A1E6A">
        <w:rPr>
          <w:szCs w:val="28"/>
        </w:rPr>
        <w:t>Березовского</w:t>
      </w:r>
      <w:r w:rsidR="00295D61">
        <w:rPr>
          <w:szCs w:val="28"/>
        </w:rPr>
        <w:t xml:space="preserve"> 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5014" w:type="dxa"/>
        <w:tblInd w:w="93" w:type="dxa"/>
        <w:tblLayout w:type="fixed"/>
        <w:tblLook w:val="04A0"/>
      </w:tblPr>
      <w:tblGrid>
        <w:gridCol w:w="2909"/>
        <w:gridCol w:w="1302"/>
        <w:gridCol w:w="1013"/>
        <w:gridCol w:w="145"/>
        <w:gridCol w:w="724"/>
        <w:gridCol w:w="868"/>
        <w:gridCol w:w="1302"/>
        <w:gridCol w:w="725"/>
        <w:gridCol w:w="577"/>
        <w:gridCol w:w="1303"/>
        <w:gridCol w:w="145"/>
        <w:gridCol w:w="2026"/>
        <w:gridCol w:w="1975"/>
      </w:tblGrid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1D5D0C">
        <w:trPr>
          <w:trHeight w:val="248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4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66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248"/>
        </w:trPr>
        <w:tc>
          <w:tcPr>
            <w:tcW w:w="15014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72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119"/>
        </w:trPr>
        <w:tc>
          <w:tcPr>
            <w:tcW w:w="29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104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1D5D0C">
        <w:trPr>
          <w:trHeight w:val="684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1D5D0C">
        <w:trPr>
          <w:trHeight w:val="61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1D5D0C">
        <w:trPr>
          <w:trHeight w:val="177"/>
        </w:trPr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5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 w:rsidP="007A1E6A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725F9"/>
    <w:rsid w:val="000D0906"/>
    <w:rsid w:val="001D5D0C"/>
    <w:rsid w:val="00216256"/>
    <w:rsid w:val="00243197"/>
    <w:rsid w:val="00295D61"/>
    <w:rsid w:val="002A7D94"/>
    <w:rsid w:val="002E2D2C"/>
    <w:rsid w:val="00304419"/>
    <w:rsid w:val="0037428B"/>
    <w:rsid w:val="00380C20"/>
    <w:rsid w:val="00453D34"/>
    <w:rsid w:val="0045415C"/>
    <w:rsid w:val="0047102A"/>
    <w:rsid w:val="00476FEC"/>
    <w:rsid w:val="00565CAD"/>
    <w:rsid w:val="00572D31"/>
    <w:rsid w:val="00604E51"/>
    <w:rsid w:val="00616975"/>
    <w:rsid w:val="00622007"/>
    <w:rsid w:val="00676AC1"/>
    <w:rsid w:val="006A4ED6"/>
    <w:rsid w:val="006E3695"/>
    <w:rsid w:val="007A1E6A"/>
    <w:rsid w:val="007A5DBF"/>
    <w:rsid w:val="007E7B58"/>
    <w:rsid w:val="00954467"/>
    <w:rsid w:val="00964713"/>
    <w:rsid w:val="00986026"/>
    <w:rsid w:val="00997646"/>
    <w:rsid w:val="009B3C5D"/>
    <w:rsid w:val="009D400F"/>
    <w:rsid w:val="009F3C71"/>
    <w:rsid w:val="00AC547B"/>
    <w:rsid w:val="00B13688"/>
    <w:rsid w:val="00CA1508"/>
    <w:rsid w:val="00CF10AC"/>
    <w:rsid w:val="00D14367"/>
    <w:rsid w:val="00D34B1F"/>
    <w:rsid w:val="00E12A25"/>
    <w:rsid w:val="00EC7CD4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D14367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D143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9">
    <w:name w:val="Содержимое врезки"/>
    <w:basedOn w:val="a"/>
    <w:qFormat/>
    <w:rsid w:val="00D14367"/>
    <w:pPr>
      <w:suppressAutoHyphens/>
    </w:pPr>
    <w:rPr>
      <w:rFonts w:asciiTheme="minorHAnsi" w:eastAsiaTheme="minorEastAsia" w:hAnsi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0164-7786-4277-B1B4-D5C8E2FC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2023-11-21T04:35:00Z</cp:lastPrinted>
  <dcterms:created xsi:type="dcterms:W3CDTF">2023-11-01T01:56:00Z</dcterms:created>
  <dcterms:modified xsi:type="dcterms:W3CDTF">2023-11-21T04:36:00Z</dcterms:modified>
</cp:coreProperties>
</file>